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917BB">
      <w:pPr>
        <w:jc w:val="center"/>
        <w:rPr>
          <w:rFonts w:ascii="Times New Roman" w:hAnsi="Times New Roman" w:cs="Times New Roman" w:eastAsiaTheme="majorEastAsia"/>
          <w:b/>
          <w:sz w:val="28"/>
          <w:szCs w:val="24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4"/>
        </w:rPr>
        <w:t>2025年度积水潭医院安全隐患整治项目-新街口及回龙观院区UPS不间断电源设施购置项目</w:t>
      </w:r>
    </w:p>
    <w:p w14:paraId="168E5B77">
      <w:pPr>
        <w:jc w:val="center"/>
        <w:rPr>
          <w:rFonts w:hint="eastAsia" w:ascii="Times New Roman" w:hAnsi="Times New Roman" w:cs="Times New Roman" w:eastAsiaTheme="majorEastAsia"/>
          <w:b/>
          <w:sz w:val="28"/>
          <w:szCs w:val="24"/>
          <w:lang w:eastAsia="zh-CN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4"/>
        </w:rPr>
        <w:t>更</w:t>
      </w:r>
      <w:r>
        <w:rPr>
          <w:rFonts w:ascii="Times New Roman" w:hAnsi="Times New Roman" w:cs="Times New Roman" w:eastAsiaTheme="majorEastAsia"/>
          <w:b/>
          <w:sz w:val="28"/>
          <w:szCs w:val="24"/>
        </w:rPr>
        <w:t>正</w:t>
      </w:r>
      <w:r>
        <w:rPr>
          <w:rFonts w:hint="eastAsia" w:ascii="Times New Roman" w:hAnsi="Times New Roman" w:cs="Times New Roman" w:eastAsiaTheme="majorEastAsia"/>
          <w:b/>
          <w:sz w:val="28"/>
          <w:szCs w:val="24"/>
          <w:lang w:val="en-US" w:eastAsia="zh-CN"/>
        </w:rPr>
        <w:t>说明</w:t>
      </w:r>
    </w:p>
    <w:p w14:paraId="6E57A57E">
      <w:pPr>
        <w:rPr>
          <w:rFonts w:ascii="Times New Roman" w:hAnsi="Times New Roman" w:cs="Times New Roman" w:eastAsiaTheme="majorEastAsia"/>
          <w:sz w:val="24"/>
          <w:szCs w:val="24"/>
        </w:rPr>
      </w:pPr>
    </w:p>
    <w:p w14:paraId="2BC7E818">
      <w:pPr>
        <w:spacing w:line="360" w:lineRule="auto"/>
        <w:ind w:firstLine="420"/>
        <w:rPr>
          <w:rFonts w:ascii="Times New Roman" w:hAnsi="Times New Roman" w:cs="Times New Roman" w:eastAsiaTheme="majorEastAsia"/>
          <w:b/>
          <w:bCs/>
          <w:sz w:val="24"/>
        </w:rPr>
      </w:pPr>
      <w:bookmarkStart w:id="0" w:name="_Hlk196492001"/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>一</w:t>
      </w:r>
      <w:r>
        <w:rPr>
          <w:rFonts w:ascii="Times New Roman" w:hAnsi="Times New Roman" w:cs="Times New Roman" w:eastAsiaTheme="majorEastAsia"/>
          <w:b/>
          <w:bCs/>
          <w:sz w:val="24"/>
        </w:rPr>
        <w:t>、原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采购公告及采购文件</w:t>
      </w:r>
      <w:r>
        <w:rPr>
          <w:rFonts w:ascii="Times New Roman" w:hAnsi="Times New Roman" w:cs="Times New Roman" w:eastAsiaTheme="majorEastAsia"/>
          <w:b/>
          <w:bCs/>
          <w:sz w:val="24"/>
        </w:rPr>
        <w:t>《</w:t>
      </w:r>
      <w:bookmarkStart w:id="1" w:name="_Toc99301424"/>
      <w:r>
        <w:rPr>
          <w:rFonts w:ascii="Times New Roman" w:hAnsi="Times New Roman" w:cs="Times New Roman" w:eastAsiaTheme="majorEastAsia"/>
          <w:b/>
          <w:bCs/>
          <w:sz w:val="24"/>
        </w:rPr>
        <w:t>第五章 采购需求</w:t>
      </w:r>
      <w:bookmarkEnd w:id="1"/>
      <w:r>
        <w:rPr>
          <w:rFonts w:ascii="Times New Roman" w:hAnsi="Times New Roman" w:cs="Times New Roman" w:eastAsiaTheme="majorEastAsia"/>
          <w:b/>
          <w:bCs/>
          <w:sz w:val="24"/>
        </w:rPr>
        <w:t>》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“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val="en-US" w:eastAsia="zh-CN"/>
        </w:rPr>
        <w:t>三、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技术要求”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>“2. 服务内容及要求/货物技术要求”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内容修改为：</w:t>
      </w:r>
    </w:p>
    <w:p w14:paraId="74551E16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2.1采购标的需满足的性能、材料、结构、外观、质量、安全、技术规格、物理特性等要求</w:t>
      </w:r>
    </w:p>
    <w:p w14:paraId="397DAC23">
      <w:pPr>
        <w:spacing w:line="360" w:lineRule="auto"/>
        <w:ind w:firstLine="480" w:firstLineChars="200"/>
        <w:contextualSpacing/>
        <w:rPr>
          <w:sz w:val="24"/>
        </w:rPr>
      </w:pPr>
      <w:bookmarkStart w:id="2" w:name="_Hlk212451468"/>
      <w:r>
        <w:rPr>
          <w:rFonts w:hint="eastAsia"/>
          <w:sz w:val="24"/>
        </w:rPr>
        <w:t>2.1.1</w:t>
      </w:r>
      <w:bookmarkEnd w:id="2"/>
      <w:r>
        <w:rPr>
          <w:rFonts w:hint="eastAsia"/>
          <w:sz w:val="24"/>
        </w:rPr>
        <w:t xml:space="preserve"> 高频UPS电源主机1KVA/6KVA要求：</w:t>
      </w:r>
    </w:p>
    <w:p w14:paraId="1683699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1KVA/6KVA</w:t>
      </w:r>
      <w:r>
        <w:rPr>
          <w:rFonts w:hint="eastAsia"/>
          <w:sz w:val="24"/>
        </w:rPr>
        <w:t>。</w:t>
      </w:r>
    </w:p>
    <w:p w14:paraId="44BF980B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2、UPS类型：在线式。</w:t>
      </w:r>
    </w:p>
    <w:p w14:paraId="71EF810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3、输入电压范围：170～270Vac。</w:t>
      </w:r>
    </w:p>
    <w:p w14:paraId="1130F22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4、输入功率因数：≥0.99(100%非线性负载）。</w:t>
      </w:r>
    </w:p>
    <w:p w14:paraId="7C6CF7E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5、输入频率范围：50～60Hz。</w:t>
      </w:r>
    </w:p>
    <w:p w14:paraId="3CB027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6、输出功率因数：</w:t>
      </w:r>
      <w:r>
        <w:rPr>
          <w:sz w:val="24"/>
        </w:rPr>
        <w:t>≥0.9</w:t>
      </w:r>
      <w:r>
        <w:rPr>
          <w:rFonts w:hint="eastAsia"/>
          <w:sz w:val="24"/>
        </w:rPr>
        <w:t>。</w:t>
      </w:r>
    </w:p>
    <w:p w14:paraId="0AD7DA0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7、过载能力：125%维持≥1分钟。</w:t>
      </w:r>
    </w:p>
    <w:p w14:paraId="25BFDC54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8、效率：≥90%（100%负载）。</w:t>
      </w:r>
    </w:p>
    <w:p w14:paraId="7E16A355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2.1.2 工频UPS电源主机3KVA/6KVA要求：</w:t>
      </w:r>
    </w:p>
    <w:p w14:paraId="3DB43E1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1、容量：3</w:t>
      </w:r>
      <w:r>
        <w:rPr>
          <w:sz w:val="24"/>
        </w:rPr>
        <w:t>KVA/6KVA</w:t>
      </w:r>
      <w:r>
        <w:rPr>
          <w:rFonts w:hint="eastAsia"/>
          <w:sz w:val="24"/>
        </w:rPr>
        <w:t>。</w:t>
      </w:r>
    </w:p>
    <w:p w14:paraId="17AE08C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2、UPS类型：在线式，内置输出隔离变压器。</w:t>
      </w:r>
    </w:p>
    <w:p w14:paraId="4D5E9EB0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3、输入电压范围：165～275Vac。</w:t>
      </w:r>
    </w:p>
    <w:p w14:paraId="3D37B5D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4、输出波形失真度：≤5%（100%非线性负载）。</w:t>
      </w:r>
    </w:p>
    <w:p w14:paraId="2679FF6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5、过载能力：125%维持≥1分钟。</w:t>
      </w:r>
    </w:p>
    <w:p w14:paraId="355A5D2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6、效率：≥90%（100%负载）。</w:t>
      </w:r>
    </w:p>
    <w:p w14:paraId="0CF131B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2.1.3 UPS电源主机40KVA/50KVA/60KVA/100KVA要求：</w:t>
      </w:r>
    </w:p>
    <w:p w14:paraId="5970877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40KVA/50KVA/60KVA/100KVA</w:t>
      </w:r>
      <w:r>
        <w:rPr>
          <w:rFonts w:hint="eastAsia"/>
          <w:sz w:val="24"/>
        </w:rPr>
        <w:t>。</w:t>
      </w:r>
    </w:p>
    <w:p w14:paraId="5903F34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2、UPS类型：在线式、三进三出、双变换、内置输出隔离变压器。</w:t>
      </w:r>
    </w:p>
    <w:p w14:paraId="193301E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3、UPS整流采用可控硅相控技术，不接受IGBT整流。</w:t>
      </w:r>
    </w:p>
    <w:p w14:paraId="4525EAE6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4、输入电压范围：305～485V（三相））。</w:t>
      </w:r>
    </w:p>
    <w:p w14:paraId="4AA266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5、输入频率范围：40～7</w:t>
      </w:r>
      <w:r>
        <w:rPr>
          <w:sz w:val="24"/>
        </w:rPr>
        <w:t>0Hz</w:t>
      </w:r>
      <w:r>
        <w:rPr>
          <w:rFonts w:hint="eastAsia"/>
          <w:sz w:val="24"/>
        </w:rPr>
        <w:t>。</w:t>
      </w:r>
    </w:p>
    <w:p w14:paraId="78DA02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6、输出有功功率：≥额定容量×0.9kW/kVA。</w:t>
      </w:r>
    </w:p>
    <w:p w14:paraId="21FE3737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</w:rPr>
        <w:t>▲</w:t>
      </w:r>
      <w:r>
        <w:rPr>
          <w:rFonts w:hint="eastAsia"/>
          <w:sz w:val="24"/>
        </w:rPr>
        <w:t>7、效率：≥95%（100%负载</w:t>
      </w:r>
      <w:r>
        <w:rPr>
          <w:rFonts w:hint="eastAsia"/>
          <w:sz w:val="24"/>
          <w:highlight w:val="none"/>
        </w:rPr>
        <w:t>）。</w:t>
      </w:r>
      <w:r>
        <w:rPr>
          <w:rFonts w:hint="eastAsia"/>
          <w:b/>
          <w:bCs/>
          <w:sz w:val="24"/>
          <w:highlight w:val="none"/>
        </w:rPr>
        <w:t>投标人须提供由投标人须提供由国家认证（认可）的检测机构出具的，针对所投UPS产品的型式检验报告复印件并加盖公章。</w:t>
      </w:r>
    </w:p>
    <w:p w14:paraId="33CDFB0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  <w:highlight w:val="none"/>
        </w:rPr>
        <w:t>▲8、面板采用大触摸屏LCD显示，屏幕应不小于7英寸，可显示UPS的运行参数不少于10000条历史记录和整机工作状态；</w:t>
      </w:r>
      <w:r>
        <w:rPr>
          <w:rFonts w:hint="eastAsia"/>
          <w:sz w:val="24"/>
        </w:rPr>
        <w:t>投标人须提供制造商针对该功能界面的证明材料并加盖公章。</w:t>
      </w:r>
    </w:p>
    <w:p w14:paraId="4951F47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▲9.UPS内部具有独立双风道设计，即磁性器件变压器和控制电路散热必须独立风道，互不影响，提高产品可靠性，延长核心部件使用寿命。投标人须提供制造商针对该功能的证明材料并加盖公章。</w:t>
      </w:r>
    </w:p>
    <w:p w14:paraId="2CA26D46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▲10.整机控制电路采用全密闭屏蔽措施，UPS的各控制电路板都装在屏蔽的金属盒子中，提高控制电路的防护等级及抗干扰能力。投标人须提供制造商针对该功能的证明材料并加盖公章。</w:t>
      </w:r>
    </w:p>
    <w:p w14:paraId="4E6F59AA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、为避免误操作、UPS面板的开关机键设计应采用防误操作设计，要求说明具体的防误操作措施，投标人须提供制造商针对该功能的证明材料并加盖公章。</w:t>
      </w:r>
    </w:p>
    <w:p w14:paraId="5FE0C0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2.1.4 蓄电池要求：</w:t>
      </w:r>
    </w:p>
    <w:p w14:paraId="5B8A074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1、电池类型：12V阀控式密封铅酸蓄电池。</w:t>
      </w:r>
    </w:p>
    <w:p w14:paraId="0BDF118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2、放电终止电压：≥</w:t>
      </w:r>
      <w:r>
        <w:rPr>
          <w:sz w:val="24"/>
        </w:rPr>
        <w:t>1.75V</w:t>
      </w:r>
      <w:r>
        <w:rPr>
          <w:rFonts w:hint="eastAsia"/>
          <w:sz w:val="24"/>
        </w:rPr>
        <w:t>。</w:t>
      </w:r>
    </w:p>
    <w:p w14:paraId="3F2EA89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3、工作温度：-20℃至50℃。</w:t>
      </w:r>
    </w:p>
    <w:p w14:paraId="66AA2014">
      <w:pPr>
        <w:spacing w:line="360" w:lineRule="auto"/>
        <w:ind w:firstLine="480" w:firstLineChars="200"/>
        <w:contextualSpacing/>
        <w:rPr>
          <w:rFonts w:hint="eastAsia"/>
          <w:sz w:val="24"/>
          <w:highlight w:val="yellow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4、设计寿命：≥10年。</w:t>
      </w:r>
    </w:p>
    <w:p w14:paraId="6DD35655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5、蓄电池应是高质量全新的阀控密封铅酸蓄电池，具有先进和实用的技术水平。投标人的投标货物不得采用代工方式（OEM）生产的产品。投标人须提供相应的承诺文件:蓄电池生产厂家原产地证明、售后服务承诺并加盖公章。</w:t>
      </w:r>
    </w:p>
    <w:p w14:paraId="62E36DCA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6、蓄电池应通过信息产业部《通信用阀控式密封铅酸蓄电池》检测认证，投标人须提</w:t>
      </w:r>
      <w:r>
        <w:rPr>
          <w:rFonts w:hint="eastAsia"/>
          <w:sz w:val="24"/>
          <w:highlight w:val="none"/>
        </w:rPr>
        <w:t>供</w:t>
      </w:r>
      <w:r>
        <w:rPr>
          <w:rFonts w:hint="eastAsia"/>
          <w:b/>
          <w:bCs/>
          <w:sz w:val="24"/>
          <w:highlight w:val="none"/>
        </w:rPr>
        <w:t>由国家认证（认可）的检测机构出具的</w:t>
      </w:r>
      <w:r>
        <w:rPr>
          <w:rFonts w:hint="eastAsia"/>
          <w:sz w:val="24"/>
          <w:highlight w:val="none"/>
        </w:rPr>
        <w:t>证书及</w:t>
      </w:r>
      <w:r>
        <w:rPr>
          <w:rFonts w:hint="eastAsia"/>
          <w:sz w:val="24"/>
        </w:rPr>
        <w:t>检测报告复印件并加盖公章。</w:t>
      </w:r>
    </w:p>
    <w:p w14:paraId="3E48EDEC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sz w:val="24"/>
        </w:rPr>
        <w:t>▲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蓄电池</w:t>
      </w:r>
      <w:r>
        <w:rPr>
          <w:rFonts w:hint="eastAsia"/>
          <w:sz w:val="24"/>
        </w:rPr>
        <w:t>的核心部件安全阀应与制造商为同一品牌，投标人须提</w:t>
      </w:r>
      <w:r>
        <w:rPr>
          <w:rFonts w:hint="eastAsia"/>
          <w:sz w:val="24"/>
          <w:highlight w:val="none"/>
        </w:rPr>
        <w:t>供</w:t>
      </w:r>
      <w:r>
        <w:rPr>
          <w:rFonts w:hint="eastAsia"/>
          <w:b/>
          <w:bCs/>
          <w:sz w:val="24"/>
          <w:highlight w:val="none"/>
        </w:rPr>
        <w:t>由国家认证（认可）的检测机构出具的</w:t>
      </w:r>
      <w:r>
        <w:rPr>
          <w:rFonts w:hint="eastAsia"/>
          <w:sz w:val="24"/>
          <w:highlight w:val="none"/>
        </w:rPr>
        <w:t>证书及</w:t>
      </w:r>
      <w:r>
        <w:rPr>
          <w:rFonts w:hint="eastAsia"/>
          <w:sz w:val="24"/>
        </w:rPr>
        <w:t>检测报告复印件并加盖公章。</w:t>
      </w:r>
    </w:p>
    <w:p w14:paraId="1309EC72">
      <w:pPr>
        <w:spacing w:line="360" w:lineRule="auto"/>
        <w:ind w:firstLine="420"/>
        <w:rPr>
          <w:rFonts w:ascii="Times New Roman" w:hAnsi="Times New Roman" w:cs="Times New Roman" w:eastAsiaTheme="majorEastAsia"/>
          <w:b/>
          <w:bCs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蓄电池阻燃性能：蓄电池壳、盖、连接条、保护罩应符合YD/T799-2010中第6.4条的要求;蓄电池槽、盖应采用高强度ABS或PP材料制造，并具有阻燃性，正常工作条件下不出现鼓胀或收缩变形。</w:t>
      </w:r>
    </w:p>
    <w:p w14:paraId="1434290A">
      <w:pPr>
        <w:spacing w:line="360" w:lineRule="auto"/>
        <w:ind w:firstLine="420"/>
        <w:rPr>
          <w:rFonts w:ascii="Times New Roman" w:hAnsi="Times New Roman" w:cs="Times New Roman" w:eastAsiaTheme="majorEastAsia"/>
          <w:b/>
          <w:bCs/>
          <w:sz w:val="24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>二</w:t>
      </w:r>
      <w:r>
        <w:rPr>
          <w:rFonts w:ascii="Times New Roman" w:hAnsi="Times New Roman" w:cs="Times New Roman" w:eastAsiaTheme="majorEastAsia"/>
          <w:b/>
          <w:bCs/>
          <w:sz w:val="24"/>
        </w:rPr>
        <w:t>、原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采购公告及采购文件</w:t>
      </w:r>
      <w:r>
        <w:rPr>
          <w:rFonts w:ascii="Times New Roman" w:hAnsi="Times New Roman" w:cs="Times New Roman" w:eastAsiaTheme="majorEastAsia"/>
          <w:b/>
          <w:bCs/>
          <w:sz w:val="24"/>
        </w:rPr>
        <w:t>《第五章 采购需求》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“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val="en-US" w:eastAsia="zh-CN"/>
        </w:rPr>
        <w:t>三、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技术要求”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>“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val="en-US" w:eastAsia="zh-CN"/>
        </w:rPr>
        <w:t>4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 xml:space="preserve">. 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val="en-US" w:eastAsia="zh-CN"/>
        </w:rPr>
        <w:t>团队人员要求</w:t>
      </w:r>
      <w:r>
        <w:rPr>
          <w:rFonts w:hint="eastAsia" w:ascii="Times New Roman" w:hAnsi="Times New Roman" w:cs="Times New Roman" w:eastAsiaTheme="majorEastAsia"/>
          <w:b/>
          <w:bCs/>
          <w:sz w:val="24"/>
          <w:lang w:eastAsia="zh-CN"/>
        </w:rPr>
        <w:t>”</w:t>
      </w:r>
      <w:r>
        <w:rPr>
          <w:rFonts w:hint="eastAsia" w:ascii="Times New Roman" w:hAnsi="Times New Roman" w:cs="Times New Roman" w:eastAsiaTheme="majorEastAsia"/>
          <w:b/>
          <w:bCs/>
          <w:sz w:val="24"/>
        </w:rPr>
        <w:t>内容修改为：</w:t>
      </w:r>
    </w:p>
    <w:p w14:paraId="1A2DDFCE">
      <w:pPr>
        <w:widowControl/>
        <w:spacing w:line="360" w:lineRule="auto"/>
        <w:ind w:firstLine="480" w:firstLineChars="200"/>
        <w:contextualSpacing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项目团队</w:t>
      </w:r>
      <w:r>
        <w:rPr>
          <w:rFonts w:hint="eastAsia"/>
          <w:sz w:val="24"/>
          <w:lang w:eastAsia="zh-CN"/>
        </w:rPr>
        <w:t>至少</w:t>
      </w:r>
      <w:r>
        <w:rPr>
          <w:rFonts w:hint="eastAsia"/>
          <w:sz w:val="24"/>
          <w:lang w:val="en-US" w:eastAsia="zh-CN"/>
        </w:rPr>
        <w:t>8人组成，其中技术负责人1名，工程师4名，其余为普通项目人员。技术负责人须具备高级信息系统项目管理师证书；4名工程师中至少1名具备中华人民共和国特种作业操作证（</w:t>
      </w:r>
      <w:r>
        <w:rPr>
          <w:rFonts w:hint="eastAsia" w:ascii="宋体" w:hAnsi="宋体"/>
          <w:sz w:val="24"/>
        </w:rPr>
        <w:t>电工作业低压电工作业</w:t>
      </w:r>
      <w:r>
        <w:rPr>
          <w:rFonts w:hint="eastAsia"/>
          <w:sz w:val="24"/>
          <w:lang w:val="en-US" w:eastAsia="zh-CN"/>
        </w:rPr>
        <w:t>），至少1名工程师须具备中华人民共和国特种作业操作证（高处安装、维护、拆除作业）。</w:t>
      </w:r>
    </w:p>
    <w:bookmarkEnd w:id="0"/>
    <w:p w14:paraId="47F04EE9">
      <w:pPr>
        <w:spacing w:line="480" w:lineRule="auto"/>
        <w:jc w:val="right"/>
        <w:rPr>
          <w:rFonts w:ascii="Times New Roman" w:hAnsi="Times New Roman" w:cs="Times New Roman" w:eastAsiaTheme="majorEastAsia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37"/>
    <w:rsid w:val="0000234D"/>
    <w:rsid w:val="00071851"/>
    <w:rsid w:val="000F3A69"/>
    <w:rsid w:val="000F5BB3"/>
    <w:rsid w:val="00137BF5"/>
    <w:rsid w:val="00144125"/>
    <w:rsid w:val="00174B10"/>
    <w:rsid w:val="001A3C3D"/>
    <w:rsid w:val="001B4D54"/>
    <w:rsid w:val="001D53CB"/>
    <w:rsid w:val="001E3070"/>
    <w:rsid w:val="001F0A74"/>
    <w:rsid w:val="001F5B27"/>
    <w:rsid w:val="001F6B0A"/>
    <w:rsid w:val="0021217C"/>
    <w:rsid w:val="002270A6"/>
    <w:rsid w:val="00265917"/>
    <w:rsid w:val="002662F8"/>
    <w:rsid w:val="00272EF7"/>
    <w:rsid w:val="00280E4D"/>
    <w:rsid w:val="00284662"/>
    <w:rsid w:val="0028592E"/>
    <w:rsid w:val="00296BED"/>
    <w:rsid w:val="00323777"/>
    <w:rsid w:val="003366D2"/>
    <w:rsid w:val="00352A4E"/>
    <w:rsid w:val="003E6777"/>
    <w:rsid w:val="003F097E"/>
    <w:rsid w:val="003F1B21"/>
    <w:rsid w:val="003F2BEF"/>
    <w:rsid w:val="003F7C4E"/>
    <w:rsid w:val="00402C0E"/>
    <w:rsid w:val="00486C2C"/>
    <w:rsid w:val="00551BD4"/>
    <w:rsid w:val="00581232"/>
    <w:rsid w:val="00581672"/>
    <w:rsid w:val="0058302B"/>
    <w:rsid w:val="005D00B1"/>
    <w:rsid w:val="00647A52"/>
    <w:rsid w:val="00650D30"/>
    <w:rsid w:val="006C1275"/>
    <w:rsid w:val="006D5E2C"/>
    <w:rsid w:val="006E2A19"/>
    <w:rsid w:val="007046B3"/>
    <w:rsid w:val="00706037"/>
    <w:rsid w:val="00711D93"/>
    <w:rsid w:val="0072059E"/>
    <w:rsid w:val="00727000"/>
    <w:rsid w:val="00731A35"/>
    <w:rsid w:val="007D7264"/>
    <w:rsid w:val="00807FA9"/>
    <w:rsid w:val="0085285A"/>
    <w:rsid w:val="008B505F"/>
    <w:rsid w:val="008B5810"/>
    <w:rsid w:val="0095388E"/>
    <w:rsid w:val="00987031"/>
    <w:rsid w:val="009A1CE0"/>
    <w:rsid w:val="009D7BA7"/>
    <w:rsid w:val="00A07555"/>
    <w:rsid w:val="00A159BB"/>
    <w:rsid w:val="00A82968"/>
    <w:rsid w:val="00A97297"/>
    <w:rsid w:val="00AA1836"/>
    <w:rsid w:val="00AC29E6"/>
    <w:rsid w:val="00AF5755"/>
    <w:rsid w:val="00B2286E"/>
    <w:rsid w:val="00B9394A"/>
    <w:rsid w:val="00BA715F"/>
    <w:rsid w:val="00BB022E"/>
    <w:rsid w:val="00BD43ED"/>
    <w:rsid w:val="00C352FF"/>
    <w:rsid w:val="00CC4FCD"/>
    <w:rsid w:val="00CE0D26"/>
    <w:rsid w:val="00CF0FA3"/>
    <w:rsid w:val="00CF2295"/>
    <w:rsid w:val="00D570F0"/>
    <w:rsid w:val="00D8086F"/>
    <w:rsid w:val="00DB1203"/>
    <w:rsid w:val="00DD00E4"/>
    <w:rsid w:val="00DD24DE"/>
    <w:rsid w:val="00DF73DA"/>
    <w:rsid w:val="00EA6C58"/>
    <w:rsid w:val="00F374AD"/>
    <w:rsid w:val="00F95AB0"/>
    <w:rsid w:val="00FB458C"/>
    <w:rsid w:val="045D72C7"/>
    <w:rsid w:val="1D850CF8"/>
    <w:rsid w:val="21EF55AB"/>
    <w:rsid w:val="358838F4"/>
    <w:rsid w:val="47DC2DC6"/>
    <w:rsid w:val="507C756D"/>
    <w:rsid w:val="542E10AC"/>
    <w:rsid w:val="5BE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semiHidden/>
    <w:qFormat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3997-966C-438C-9E5D-E5B3227C6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3123</Words>
  <Characters>3429</Characters>
  <Lines>12</Lines>
  <Paragraphs>12</Paragraphs>
  <TotalTime>2</TotalTime>
  <ScaleCrop>false</ScaleCrop>
  <LinksUpToDate>false</LinksUpToDate>
  <CharactersWithSpaces>3446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2021-08-31T05:09:00Z</dcterms:created>
  <dc:creator>gongyz</dc:creator>
  <cp:lastModifiedBy>10674</cp:lastModifiedBy>
  <cp:lastPrinted>2025-12-18T02:18:32Z</cp:lastPrinted>
  <dcterms:modified xsi:type="dcterms:W3CDTF">2025-12-18T02:22:48Z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eyJoZGlkIjoiZjg5ZjRhOGFhMDBkMWE0ODdhMmI3M2YwMGZkNTkwNDMiLCJ1c2VySWQiOiI2Njg3MjQ3MTEifQ==</vt:lpwstr>
  </property>
  <property fmtid="{D5CDD505-2E9C-101B-9397-08002B2CF9AE}" pid="3" name="KSOProductBuildVer">
    <vt:lpwstr>2052-12.1.0.24031</vt:lpwstr>
  </property>
  <property fmtid="{D5CDD505-2E9C-101B-9397-08002B2CF9AE}" pid="4" name="ICV">
    <vt:lpwstr>8E65F55E75B141DDA7E0DE6BABFE9A87_12</vt:lpwstr>
  </property>
</Properties>
</file>